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23" w:rsidRPr="00AB7DBE" w:rsidRDefault="00373A23" w:rsidP="00373A23">
      <w:pPr>
        <w:jc w:val="center"/>
        <w:rPr>
          <w:rFonts w:asciiTheme="majorBidi" w:hAnsiTheme="majorBidi" w:cstheme="majorBidi"/>
          <w:b/>
          <w:bCs/>
          <w:sz w:val="24"/>
          <w:szCs w:val="24"/>
        </w:rPr>
      </w:pPr>
      <w:r>
        <w:rPr>
          <w:rFonts w:asciiTheme="majorBidi" w:hAnsiTheme="majorBidi" w:cstheme="majorBidi"/>
          <w:b/>
          <w:bCs/>
          <w:sz w:val="24"/>
          <w:szCs w:val="24"/>
        </w:rPr>
        <w:t xml:space="preserve">L’évaluation </w:t>
      </w:r>
      <w:r w:rsidRPr="00DA0D91">
        <w:rPr>
          <w:rFonts w:asciiTheme="majorBidi" w:hAnsiTheme="majorBidi" w:cstheme="majorBidi"/>
          <w:b/>
          <w:bCs/>
          <w:i/>
          <w:iCs/>
          <w:sz w:val="24"/>
          <w:szCs w:val="24"/>
        </w:rPr>
        <w:t>à posteriori</w:t>
      </w:r>
      <w:r>
        <w:rPr>
          <w:rFonts w:asciiTheme="majorBidi" w:hAnsiTheme="majorBidi" w:cstheme="majorBidi"/>
          <w:b/>
          <w:bCs/>
          <w:sz w:val="24"/>
          <w:szCs w:val="24"/>
        </w:rPr>
        <w:t xml:space="preserve"> des formations universitaires : état des lieux et perspectives d’évolution : cas de l’université de Souk-Ahras</w:t>
      </w:r>
    </w:p>
    <w:p w:rsidR="00373A23" w:rsidRPr="00ED3B6C" w:rsidRDefault="00373A23" w:rsidP="00373A23">
      <w:pPr>
        <w:rPr>
          <w:rFonts w:asciiTheme="majorBidi" w:hAnsiTheme="majorBidi" w:cstheme="majorBidi"/>
          <w:b/>
          <w:bCs/>
          <w:sz w:val="24"/>
          <w:szCs w:val="24"/>
        </w:rPr>
      </w:pPr>
    </w:p>
    <w:p w:rsidR="00373A23" w:rsidRPr="00ED3B6C" w:rsidRDefault="00373A23" w:rsidP="00373A23">
      <w:pPr>
        <w:jc w:val="center"/>
        <w:rPr>
          <w:rFonts w:asciiTheme="majorBidi" w:hAnsiTheme="majorBidi" w:cstheme="majorBidi"/>
          <w:b/>
          <w:bCs/>
          <w:i/>
          <w:iCs/>
          <w:sz w:val="24"/>
          <w:szCs w:val="24"/>
        </w:rPr>
      </w:pPr>
      <w:r>
        <w:rPr>
          <w:rFonts w:asciiTheme="majorBidi" w:hAnsiTheme="majorBidi" w:cstheme="majorBidi"/>
          <w:b/>
          <w:bCs/>
          <w:i/>
          <w:iCs/>
          <w:sz w:val="24"/>
          <w:szCs w:val="24"/>
        </w:rPr>
        <w:t>Kamel OULDFERROUKH</w:t>
      </w:r>
      <w:r w:rsidRPr="00ED3B6C">
        <w:rPr>
          <w:rFonts w:asciiTheme="majorBidi" w:hAnsiTheme="majorBidi" w:cstheme="majorBidi"/>
          <w:b/>
          <w:bCs/>
          <w:i/>
          <w:iCs/>
          <w:sz w:val="24"/>
          <w:szCs w:val="24"/>
        </w:rPr>
        <w:t xml:space="preserve">     Maître de conférences   Université de Souk-Ahras</w:t>
      </w:r>
    </w:p>
    <w:p w:rsidR="00373A23" w:rsidRDefault="00373A23" w:rsidP="00373A23">
      <w:pPr>
        <w:rPr>
          <w:rFonts w:asciiTheme="majorBidi" w:hAnsiTheme="majorBidi" w:cstheme="majorBidi"/>
          <w:b/>
          <w:bCs/>
          <w:sz w:val="24"/>
          <w:szCs w:val="24"/>
        </w:rPr>
      </w:pPr>
    </w:p>
    <w:p w:rsidR="00373A23" w:rsidRPr="00962262" w:rsidRDefault="00373A23" w:rsidP="00373A23">
      <w:pPr>
        <w:rPr>
          <w:rFonts w:asciiTheme="majorBidi" w:hAnsiTheme="majorBidi" w:cstheme="majorBidi"/>
          <w:b/>
          <w:bCs/>
          <w:sz w:val="24"/>
          <w:szCs w:val="24"/>
        </w:rPr>
      </w:pPr>
      <w:r>
        <w:rPr>
          <w:rFonts w:asciiTheme="majorBidi" w:hAnsiTheme="majorBidi" w:cstheme="majorBidi"/>
          <w:b/>
          <w:bCs/>
          <w:sz w:val="24"/>
          <w:szCs w:val="24"/>
        </w:rPr>
        <w:t xml:space="preserve">Résumé </w:t>
      </w:r>
    </w:p>
    <w:p w:rsidR="00373A23" w:rsidRPr="00AB7DBE" w:rsidRDefault="00373A23" w:rsidP="00373A23">
      <w:pPr>
        <w:spacing w:line="360" w:lineRule="auto"/>
        <w:ind w:firstLine="708"/>
        <w:rPr>
          <w:rFonts w:asciiTheme="majorBidi" w:hAnsiTheme="majorBidi" w:cstheme="majorBidi"/>
          <w:i/>
          <w:iCs/>
          <w:sz w:val="24"/>
          <w:szCs w:val="24"/>
        </w:rPr>
      </w:pPr>
      <w:r>
        <w:rPr>
          <w:rFonts w:asciiTheme="majorBidi" w:hAnsiTheme="majorBidi" w:cstheme="majorBidi"/>
          <w:sz w:val="24"/>
          <w:szCs w:val="24"/>
        </w:rPr>
        <w:t xml:space="preserve">En rapport avec le référentiel national d’évaluation des offres de formations, </w:t>
      </w:r>
      <w:r w:rsidRPr="00AB7DBE">
        <w:rPr>
          <w:rFonts w:asciiTheme="majorBidi" w:hAnsiTheme="majorBidi" w:cstheme="majorBidi"/>
          <w:sz w:val="24"/>
          <w:szCs w:val="24"/>
        </w:rPr>
        <w:t>not</w:t>
      </w:r>
      <w:r>
        <w:rPr>
          <w:rFonts w:asciiTheme="majorBidi" w:hAnsiTheme="majorBidi" w:cstheme="majorBidi"/>
          <w:sz w:val="24"/>
          <w:szCs w:val="24"/>
        </w:rPr>
        <w:t xml:space="preserve">re présent papier, essaye </w:t>
      </w:r>
      <w:r w:rsidRPr="00AB7DBE">
        <w:rPr>
          <w:rFonts w:asciiTheme="majorBidi" w:hAnsiTheme="majorBidi" w:cstheme="majorBidi"/>
          <w:sz w:val="24"/>
          <w:szCs w:val="24"/>
        </w:rPr>
        <w:t>d’aborder l’u</w:t>
      </w:r>
      <w:r>
        <w:rPr>
          <w:rFonts w:asciiTheme="majorBidi" w:hAnsiTheme="majorBidi" w:cstheme="majorBidi"/>
          <w:sz w:val="24"/>
          <w:szCs w:val="24"/>
        </w:rPr>
        <w:t>n des aspects de la</w:t>
      </w:r>
      <w:r w:rsidRPr="00AB7DBE">
        <w:rPr>
          <w:rFonts w:asciiTheme="majorBidi" w:hAnsiTheme="majorBidi" w:cstheme="majorBidi"/>
          <w:sz w:val="24"/>
          <w:szCs w:val="24"/>
        </w:rPr>
        <w:t xml:space="preserve"> réforme </w:t>
      </w:r>
      <w:r>
        <w:rPr>
          <w:rFonts w:asciiTheme="majorBidi" w:hAnsiTheme="majorBidi" w:cstheme="majorBidi"/>
          <w:sz w:val="24"/>
          <w:szCs w:val="24"/>
        </w:rPr>
        <w:t xml:space="preserve">que </w:t>
      </w:r>
      <w:r w:rsidRPr="00AB7DBE">
        <w:rPr>
          <w:rFonts w:asciiTheme="majorBidi" w:hAnsiTheme="majorBidi" w:cstheme="majorBidi"/>
          <w:sz w:val="24"/>
          <w:szCs w:val="24"/>
        </w:rPr>
        <w:t>l’université</w:t>
      </w:r>
      <w:r>
        <w:rPr>
          <w:rFonts w:asciiTheme="majorBidi" w:hAnsiTheme="majorBidi" w:cstheme="majorBidi"/>
          <w:sz w:val="24"/>
          <w:szCs w:val="24"/>
        </w:rPr>
        <w:t xml:space="preserve"> algérienne</w:t>
      </w:r>
      <w:r w:rsidRPr="00D25C4C">
        <w:rPr>
          <w:rFonts w:asciiTheme="majorBidi" w:hAnsiTheme="majorBidi" w:cstheme="majorBidi"/>
          <w:sz w:val="24"/>
          <w:szCs w:val="24"/>
        </w:rPr>
        <w:t xml:space="preserve"> </w:t>
      </w:r>
      <w:r>
        <w:rPr>
          <w:rFonts w:asciiTheme="majorBidi" w:hAnsiTheme="majorBidi" w:cstheme="majorBidi"/>
          <w:sz w:val="24"/>
          <w:szCs w:val="24"/>
        </w:rPr>
        <w:t>a connue, et plus particulièrement</w:t>
      </w:r>
      <w:r w:rsidRPr="00AB7DBE">
        <w:rPr>
          <w:rFonts w:asciiTheme="majorBidi" w:hAnsiTheme="majorBidi" w:cstheme="majorBidi"/>
          <w:sz w:val="24"/>
          <w:szCs w:val="24"/>
        </w:rPr>
        <w:t xml:space="preserve"> </w:t>
      </w:r>
      <w:r>
        <w:rPr>
          <w:rFonts w:asciiTheme="majorBidi" w:hAnsiTheme="majorBidi" w:cstheme="majorBidi"/>
          <w:sz w:val="24"/>
          <w:szCs w:val="24"/>
        </w:rPr>
        <w:t xml:space="preserve">l’université </w:t>
      </w:r>
      <w:r w:rsidRPr="00AB7DBE">
        <w:rPr>
          <w:rFonts w:asciiTheme="majorBidi" w:hAnsiTheme="majorBidi" w:cstheme="majorBidi"/>
          <w:sz w:val="24"/>
          <w:szCs w:val="24"/>
        </w:rPr>
        <w:t>de Souk-Ahras. Cet aspect se rapporte</w:t>
      </w:r>
      <w:r>
        <w:rPr>
          <w:rFonts w:asciiTheme="majorBidi" w:hAnsiTheme="majorBidi" w:cstheme="majorBidi"/>
          <w:sz w:val="24"/>
          <w:szCs w:val="24"/>
        </w:rPr>
        <w:t xml:space="preserve"> à la qualité de la formation. Pour ce faire, notre recherche tente de répondre à la question principale suivante : Les</w:t>
      </w:r>
      <w:r w:rsidRPr="00AB7DBE">
        <w:rPr>
          <w:rFonts w:asciiTheme="majorBidi" w:hAnsiTheme="majorBidi" w:cstheme="majorBidi"/>
          <w:sz w:val="24"/>
          <w:szCs w:val="24"/>
        </w:rPr>
        <w:t xml:space="preserve"> formations et les dispositifs d’évaluation, s’appuient-t-ils sur des approches pédagogiques et didactiques innovantes et appropriées à l’évolution de l’environnement socioprofessionnel et économique ?  </w:t>
      </w:r>
    </w:p>
    <w:p w:rsidR="00373A23" w:rsidRDefault="00373A23" w:rsidP="00373A23">
      <w:pPr>
        <w:spacing w:line="360" w:lineRule="auto"/>
        <w:ind w:firstLine="708"/>
        <w:rPr>
          <w:rFonts w:asciiTheme="majorBidi" w:hAnsiTheme="majorBidi" w:cstheme="majorBidi"/>
          <w:sz w:val="24"/>
          <w:szCs w:val="24"/>
        </w:rPr>
      </w:pPr>
      <w:r>
        <w:rPr>
          <w:rFonts w:asciiTheme="majorBidi" w:hAnsiTheme="majorBidi" w:cstheme="majorBidi"/>
          <w:sz w:val="24"/>
          <w:szCs w:val="24"/>
        </w:rPr>
        <w:t>Dans cette</w:t>
      </w:r>
      <w:r w:rsidRPr="0028514A">
        <w:rPr>
          <w:rFonts w:asciiTheme="majorBidi" w:hAnsiTheme="majorBidi" w:cstheme="majorBidi"/>
          <w:sz w:val="24"/>
          <w:szCs w:val="24"/>
        </w:rPr>
        <w:t xml:space="preserve"> </w:t>
      </w:r>
      <w:r>
        <w:rPr>
          <w:rFonts w:asciiTheme="majorBidi" w:hAnsiTheme="majorBidi" w:cstheme="majorBidi"/>
          <w:sz w:val="24"/>
          <w:szCs w:val="24"/>
        </w:rPr>
        <w:t>perspective, une démarche largement qualitative fut adoptée, consistant en une analyse d’entretiens réalisés avec des enseignants chercheurs, soutenue par des questionnaires et des enregistrements de cours. Les résultats obtenus dévoilent une nette inadéquation entre les orientations méthodologiques d’enseignement et d’appropriations des savoirs et</w:t>
      </w:r>
      <w:r w:rsidRPr="00AB7DBE">
        <w:rPr>
          <w:rFonts w:asciiTheme="majorBidi" w:hAnsiTheme="majorBidi" w:cstheme="majorBidi"/>
          <w:sz w:val="24"/>
          <w:szCs w:val="24"/>
        </w:rPr>
        <w:t xml:space="preserve"> l’environnement </w:t>
      </w:r>
      <w:r>
        <w:rPr>
          <w:rFonts w:asciiTheme="majorBidi" w:hAnsiTheme="majorBidi" w:cstheme="majorBidi"/>
          <w:sz w:val="24"/>
          <w:szCs w:val="24"/>
        </w:rPr>
        <w:t>socioprofessionnel. Réorienter les deux modèles pédagogiques transmissif et béhavioriste adoptés au sein de l’université,</w:t>
      </w:r>
      <w:r w:rsidRPr="003D3958">
        <w:rPr>
          <w:rFonts w:asciiTheme="majorBidi" w:hAnsiTheme="majorBidi" w:cstheme="majorBidi"/>
          <w:sz w:val="24"/>
          <w:szCs w:val="24"/>
        </w:rPr>
        <w:t xml:space="preserve"> </w:t>
      </w:r>
      <w:r>
        <w:rPr>
          <w:rFonts w:asciiTheme="majorBidi" w:hAnsiTheme="majorBidi" w:cstheme="majorBidi"/>
          <w:sz w:val="24"/>
          <w:szCs w:val="24"/>
        </w:rPr>
        <w:t>vers un modèle socioconstructiviste,</w:t>
      </w:r>
      <w:r w:rsidRPr="002D63BD">
        <w:rPr>
          <w:rFonts w:asciiTheme="majorBidi" w:hAnsiTheme="majorBidi" w:cstheme="majorBidi"/>
          <w:sz w:val="24"/>
          <w:szCs w:val="24"/>
        </w:rPr>
        <w:t xml:space="preserve"> </w:t>
      </w:r>
      <w:r>
        <w:rPr>
          <w:rFonts w:asciiTheme="majorBidi" w:hAnsiTheme="majorBidi" w:cstheme="majorBidi"/>
          <w:sz w:val="24"/>
          <w:szCs w:val="24"/>
        </w:rPr>
        <w:t xml:space="preserve">permettant </w:t>
      </w:r>
      <w:r w:rsidRPr="00AB7DBE">
        <w:rPr>
          <w:rFonts w:asciiTheme="majorBidi" w:hAnsiTheme="majorBidi" w:cstheme="majorBidi"/>
          <w:sz w:val="24"/>
          <w:szCs w:val="24"/>
        </w:rPr>
        <w:t>une véritable mis</w:t>
      </w:r>
      <w:r>
        <w:rPr>
          <w:rFonts w:asciiTheme="majorBidi" w:hAnsiTheme="majorBidi" w:cstheme="majorBidi"/>
          <w:sz w:val="24"/>
          <w:szCs w:val="24"/>
        </w:rPr>
        <w:t xml:space="preserve">e en situation professionnelle, s'avère une nécessité pour faire face à un environnement qui devient de plus en plus complexe.          </w:t>
      </w:r>
    </w:p>
    <w:p w:rsidR="00373A23" w:rsidRPr="00094477" w:rsidRDefault="00373A23" w:rsidP="00373A23">
      <w:pPr>
        <w:rPr>
          <w:rFonts w:asciiTheme="majorBidi" w:hAnsiTheme="majorBidi" w:cstheme="majorBidi"/>
          <w:b/>
          <w:bCs/>
          <w:sz w:val="24"/>
          <w:szCs w:val="24"/>
          <w:rtl/>
        </w:rPr>
      </w:pPr>
      <w:r w:rsidRPr="00D378B4">
        <w:rPr>
          <w:rFonts w:asciiTheme="majorBidi" w:hAnsiTheme="majorBidi" w:cstheme="majorBidi"/>
          <w:b/>
          <w:bCs/>
          <w:sz w:val="24"/>
          <w:szCs w:val="24"/>
        </w:rPr>
        <w:t>Mots clés</w:t>
      </w:r>
      <w:r>
        <w:rPr>
          <w:rFonts w:asciiTheme="majorBidi" w:hAnsiTheme="majorBidi" w:cstheme="majorBidi"/>
          <w:b/>
          <w:bCs/>
          <w:sz w:val="24"/>
          <w:szCs w:val="24"/>
        </w:rPr>
        <w:t xml:space="preserve"> : </w:t>
      </w:r>
      <w:r w:rsidRPr="005D3B30">
        <w:rPr>
          <w:rFonts w:asciiTheme="majorBidi" w:hAnsiTheme="majorBidi" w:cstheme="majorBidi"/>
          <w:sz w:val="24"/>
          <w:szCs w:val="24"/>
        </w:rPr>
        <w:t>Modèles pédagogiques, évaluation</w:t>
      </w:r>
      <w:r>
        <w:rPr>
          <w:rFonts w:asciiTheme="majorBidi" w:hAnsiTheme="majorBidi" w:cstheme="majorBidi"/>
          <w:sz w:val="24"/>
          <w:szCs w:val="24"/>
        </w:rPr>
        <w:t>,</w:t>
      </w:r>
      <w:r w:rsidRPr="006264CB">
        <w:rPr>
          <w:rFonts w:asciiTheme="majorBidi" w:hAnsiTheme="majorBidi" w:cstheme="majorBidi"/>
          <w:sz w:val="24"/>
          <w:szCs w:val="24"/>
        </w:rPr>
        <w:t xml:space="preserve"> </w:t>
      </w:r>
      <w:r>
        <w:rPr>
          <w:rFonts w:asciiTheme="majorBidi" w:hAnsiTheme="majorBidi" w:cstheme="majorBidi"/>
          <w:sz w:val="24"/>
          <w:szCs w:val="24"/>
        </w:rPr>
        <w:t>curriculum,  mode</w:t>
      </w:r>
      <w:r w:rsidRPr="00AB7DBE">
        <w:rPr>
          <w:rFonts w:asciiTheme="majorBidi" w:hAnsiTheme="majorBidi" w:cstheme="majorBidi"/>
          <w:sz w:val="24"/>
          <w:szCs w:val="24"/>
        </w:rPr>
        <w:t xml:space="preserve"> d’entrée</w:t>
      </w:r>
      <w:r>
        <w:rPr>
          <w:rFonts w:asciiTheme="majorBidi" w:hAnsiTheme="majorBidi" w:cstheme="majorBidi"/>
          <w:sz w:val="24"/>
          <w:szCs w:val="24"/>
        </w:rPr>
        <w:t>, lien formation/</w:t>
      </w:r>
      <w:r w:rsidRPr="00AB7DBE">
        <w:rPr>
          <w:rFonts w:asciiTheme="majorBidi" w:hAnsiTheme="majorBidi" w:cstheme="majorBidi"/>
          <w:sz w:val="24"/>
          <w:szCs w:val="24"/>
        </w:rPr>
        <w:t xml:space="preserve">environnement </w:t>
      </w:r>
      <w:r>
        <w:rPr>
          <w:rFonts w:asciiTheme="majorBidi" w:hAnsiTheme="majorBidi" w:cstheme="majorBidi"/>
          <w:sz w:val="24"/>
          <w:szCs w:val="24"/>
        </w:rPr>
        <w:t xml:space="preserve">socioprofessionnel </w:t>
      </w:r>
      <w:r w:rsidRPr="005D3B30">
        <w:rPr>
          <w:rFonts w:asciiTheme="majorBidi" w:hAnsiTheme="majorBidi" w:cstheme="majorBidi"/>
          <w:sz w:val="24"/>
          <w:szCs w:val="24"/>
        </w:rPr>
        <w:t xml:space="preserve"> </w:t>
      </w:r>
    </w:p>
    <w:p w:rsidR="00373A23" w:rsidRDefault="00373A23" w:rsidP="00373A23">
      <w:pPr>
        <w:rPr>
          <w:rFonts w:asciiTheme="majorBidi" w:hAnsiTheme="majorBidi" w:cstheme="majorBidi"/>
          <w:b/>
          <w:bCs/>
          <w:sz w:val="24"/>
          <w:szCs w:val="24"/>
        </w:rPr>
      </w:pPr>
    </w:p>
    <w:p w:rsidR="00373A23" w:rsidRPr="00597AF0" w:rsidRDefault="00373A23" w:rsidP="00373A23">
      <w:pPr>
        <w:bidi/>
        <w:spacing w:line="360" w:lineRule="auto"/>
        <w:rPr>
          <w:rFonts w:ascii="Times New Roman" w:hAnsi="Times New Roman" w:cs="Times New Roman"/>
          <w:b/>
          <w:bCs/>
          <w:sz w:val="24"/>
          <w:szCs w:val="24"/>
          <w:rtl/>
          <w:lang w:bidi="ar-DZ"/>
        </w:rPr>
      </w:pPr>
      <w:proofErr w:type="gramStart"/>
      <w:r w:rsidRPr="00597AF0">
        <w:rPr>
          <w:rFonts w:ascii="Times New Roman" w:hAnsi="Times New Roman" w:cs="Times New Roman"/>
          <w:b/>
          <w:bCs/>
          <w:sz w:val="24"/>
          <w:szCs w:val="24"/>
          <w:rtl/>
          <w:lang w:bidi="ar-DZ"/>
        </w:rPr>
        <w:t>ملخص</w:t>
      </w:r>
      <w:proofErr w:type="gramEnd"/>
      <w:r w:rsidRPr="00597AF0">
        <w:rPr>
          <w:rFonts w:ascii="Times New Roman" w:hAnsi="Times New Roman" w:cs="Times New Roman"/>
          <w:b/>
          <w:bCs/>
          <w:sz w:val="24"/>
          <w:szCs w:val="24"/>
          <w:rtl/>
          <w:lang w:bidi="ar-DZ"/>
        </w:rPr>
        <w:t>:</w:t>
      </w:r>
    </w:p>
    <w:p w:rsidR="00373A23" w:rsidRPr="00597AF0" w:rsidRDefault="00373A23" w:rsidP="00373A23">
      <w:pPr>
        <w:bidi/>
        <w:spacing w:line="360" w:lineRule="auto"/>
        <w:rPr>
          <w:rFonts w:asciiTheme="majorBidi" w:hAnsiTheme="majorBidi" w:cstheme="majorBidi"/>
          <w:sz w:val="24"/>
          <w:szCs w:val="24"/>
        </w:rPr>
      </w:pPr>
      <w:r w:rsidRPr="00597AF0">
        <w:rPr>
          <w:rFonts w:ascii="Times New Roman" w:hAnsi="Times New Roman" w:cs="Times New Roman"/>
          <w:sz w:val="24"/>
          <w:szCs w:val="24"/>
          <w:rtl/>
          <w:lang w:bidi="ar-DZ"/>
        </w:rPr>
        <w:t xml:space="preserve">اعتمادا على المرجع الوطني لتقييم عروض التكوين، تحاول هذه الورقة البحثية </w:t>
      </w:r>
      <w:proofErr w:type="gramStart"/>
      <w:r w:rsidRPr="00597AF0">
        <w:rPr>
          <w:rFonts w:ascii="Times New Roman" w:hAnsi="Times New Roman" w:cs="Times New Roman"/>
          <w:sz w:val="24"/>
          <w:szCs w:val="24"/>
          <w:rtl/>
          <w:lang w:bidi="ar-DZ"/>
        </w:rPr>
        <w:t>تناول</w:t>
      </w:r>
      <w:proofErr w:type="gramEnd"/>
      <w:r w:rsidRPr="00597AF0">
        <w:rPr>
          <w:rFonts w:ascii="Times New Roman" w:hAnsi="Times New Roman" w:cs="Times New Roman"/>
          <w:sz w:val="24"/>
          <w:szCs w:val="24"/>
          <w:rtl/>
          <w:lang w:bidi="ar-DZ"/>
        </w:rPr>
        <w:t xml:space="preserve"> احد جوانب الإصلاح الذي عرفته الجامعة الجزائرية، و بصفة أخص جامعة سوق أهراس. يرتبط هذا الجانب</w:t>
      </w:r>
      <w:r w:rsidRPr="00597AF0">
        <w:rPr>
          <w:rFonts w:asciiTheme="majorBidi" w:hAnsiTheme="majorBidi" w:cstheme="majorBidi" w:hint="cs"/>
          <w:sz w:val="24"/>
          <w:szCs w:val="24"/>
          <w:rtl/>
        </w:rPr>
        <w:t xml:space="preserve"> بجودة</w:t>
      </w:r>
      <w:r w:rsidRPr="00597AF0">
        <w:rPr>
          <w:rFonts w:ascii="Times New Roman" w:hAnsi="Times New Roman" w:cs="Times New Roman"/>
          <w:sz w:val="24"/>
          <w:szCs w:val="24"/>
          <w:rtl/>
          <w:lang w:bidi="ar-DZ"/>
        </w:rPr>
        <w:t xml:space="preserve">  التكوين. و لأجل ذلك، يحاول هذا البحث الإجابة على التساؤل الأساسي التالي:</w:t>
      </w:r>
      <w:r w:rsidRPr="00597AF0">
        <w:rPr>
          <w:rFonts w:asciiTheme="majorBidi" w:hAnsiTheme="majorBidi" w:cstheme="majorBidi" w:hint="cs"/>
          <w:sz w:val="24"/>
          <w:szCs w:val="24"/>
          <w:rtl/>
        </w:rPr>
        <w:t xml:space="preserve"> هل يعتمد التكوين</w:t>
      </w:r>
      <w:r w:rsidRPr="00597AF0">
        <w:rPr>
          <w:rFonts w:asciiTheme="majorBidi" w:hAnsiTheme="majorBidi" w:cstheme="majorBidi"/>
          <w:sz w:val="24"/>
          <w:szCs w:val="24"/>
          <w:rtl/>
        </w:rPr>
        <w:t xml:space="preserve"> </w:t>
      </w:r>
      <w:r w:rsidRPr="00597AF0">
        <w:rPr>
          <w:rFonts w:asciiTheme="majorBidi" w:hAnsiTheme="majorBidi" w:cstheme="majorBidi" w:hint="cs"/>
          <w:sz w:val="24"/>
          <w:szCs w:val="24"/>
          <w:rtl/>
        </w:rPr>
        <w:t xml:space="preserve">و أنظمة التقييم </w:t>
      </w:r>
      <w:r w:rsidRPr="00597AF0">
        <w:rPr>
          <w:rFonts w:ascii="Times New Roman" w:hAnsi="Times New Roman" w:cs="Times New Roman"/>
          <w:sz w:val="24"/>
          <w:szCs w:val="24"/>
          <w:rtl/>
          <w:lang w:bidi="ar-DZ"/>
        </w:rPr>
        <w:t xml:space="preserve">على مقاربات </w:t>
      </w:r>
      <w:proofErr w:type="spellStart"/>
      <w:r w:rsidRPr="00597AF0">
        <w:rPr>
          <w:rFonts w:ascii="Times New Roman" w:hAnsi="Times New Roman" w:cs="Times New Roman"/>
          <w:sz w:val="24"/>
          <w:szCs w:val="24"/>
          <w:rtl/>
          <w:lang w:bidi="ar-DZ"/>
        </w:rPr>
        <w:t>بيداغوجية</w:t>
      </w:r>
      <w:proofErr w:type="spellEnd"/>
      <w:r w:rsidRPr="00597AF0">
        <w:rPr>
          <w:rFonts w:ascii="Times New Roman" w:hAnsi="Times New Roman" w:cs="Times New Roman"/>
          <w:sz w:val="24"/>
          <w:szCs w:val="24"/>
          <w:rtl/>
          <w:lang w:bidi="ar-DZ"/>
        </w:rPr>
        <w:t xml:space="preserve"> و تعليمية </w:t>
      </w:r>
      <w:r w:rsidRPr="00597AF0">
        <w:rPr>
          <w:rFonts w:asciiTheme="majorBidi" w:hAnsiTheme="majorBidi" w:cstheme="majorBidi" w:hint="cs"/>
          <w:sz w:val="24"/>
          <w:szCs w:val="24"/>
          <w:rtl/>
        </w:rPr>
        <w:t>مبتكرة مناسبة لتطور البيئة الاجتماعية</w:t>
      </w:r>
      <w:r w:rsidRPr="00597AF0">
        <w:rPr>
          <w:rFonts w:ascii="Times New Roman" w:hAnsi="Times New Roman" w:cs="Times New Roman"/>
          <w:sz w:val="24"/>
          <w:szCs w:val="24"/>
          <w:rtl/>
          <w:lang w:bidi="ar-DZ"/>
        </w:rPr>
        <w:t>،</w:t>
      </w:r>
      <w:r w:rsidRPr="00597AF0">
        <w:rPr>
          <w:rFonts w:asciiTheme="majorBidi" w:hAnsiTheme="majorBidi" w:cstheme="majorBidi" w:hint="cs"/>
          <w:sz w:val="24"/>
          <w:szCs w:val="24"/>
          <w:rtl/>
        </w:rPr>
        <w:t xml:space="preserve"> المهنية والاقتصادية؟</w:t>
      </w:r>
      <w:r>
        <w:rPr>
          <w:rFonts w:asciiTheme="majorBidi" w:hAnsiTheme="majorBidi" w:cstheme="majorBidi"/>
          <w:sz w:val="24"/>
          <w:szCs w:val="24"/>
        </w:rPr>
        <w:t xml:space="preserve"> </w:t>
      </w:r>
    </w:p>
    <w:p w:rsidR="00373A23" w:rsidRPr="00597AF0" w:rsidRDefault="00373A23" w:rsidP="00373A23">
      <w:pPr>
        <w:bidi/>
        <w:spacing w:line="360" w:lineRule="auto"/>
        <w:ind w:firstLine="708"/>
        <w:rPr>
          <w:rFonts w:ascii="Times New Roman" w:hAnsi="Times New Roman" w:cs="Times New Roman"/>
          <w:sz w:val="24"/>
          <w:szCs w:val="24"/>
          <w:lang w:bidi="ar-DZ"/>
        </w:rPr>
      </w:pPr>
      <w:proofErr w:type="gramStart"/>
      <w:r w:rsidRPr="00597AF0">
        <w:rPr>
          <w:rFonts w:ascii="Times New Roman" w:hAnsi="Times New Roman" w:cs="Times New Roman"/>
          <w:sz w:val="24"/>
          <w:szCs w:val="24"/>
          <w:rtl/>
          <w:lang w:bidi="ar-DZ"/>
        </w:rPr>
        <w:t>سعيا</w:t>
      </w:r>
      <w:proofErr w:type="gramEnd"/>
      <w:r w:rsidRPr="00597AF0">
        <w:rPr>
          <w:rFonts w:ascii="Times New Roman" w:hAnsi="Times New Roman" w:cs="Times New Roman"/>
          <w:sz w:val="24"/>
          <w:szCs w:val="24"/>
          <w:rtl/>
          <w:lang w:bidi="ar-DZ"/>
        </w:rPr>
        <w:t xml:space="preserve"> وراء هذا الهدف، تم الاعتماد على منهجية نوعية في الغالب، تتمثل في تحليل لمقابلات مع أساتذة باحثين، مدعمة باستبيانات و تسجيلات للمحاضرات. </w:t>
      </w:r>
      <w:proofErr w:type="gramStart"/>
      <w:r w:rsidRPr="00597AF0">
        <w:rPr>
          <w:rFonts w:ascii="Times New Roman" w:hAnsi="Times New Roman" w:cs="Times New Roman"/>
          <w:sz w:val="24"/>
          <w:szCs w:val="24"/>
          <w:rtl/>
          <w:lang w:bidi="ar-DZ"/>
        </w:rPr>
        <w:t>النتائج</w:t>
      </w:r>
      <w:proofErr w:type="gramEnd"/>
      <w:r w:rsidRPr="00597AF0">
        <w:rPr>
          <w:rFonts w:ascii="Times New Roman" w:hAnsi="Times New Roman" w:cs="Times New Roman"/>
          <w:sz w:val="24"/>
          <w:szCs w:val="24"/>
          <w:rtl/>
          <w:lang w:bidi="ar-DZ"/>
        </w:rPr>
        <w:t xml:space="preserve"> المحصل عليها تكشف عن عدم توافق واضح بين التوجهات المنهجية للتعليم و نقل المعرفة   مع المحيط</w:t>
      </w:r>
      <w:r w:rsidRPr="00597AF0">
        <w:rPr>
          <w:rFonts w:asciiTheme="majorBidi" w:hAnsiTheme="majorBidi" w:cstheme="majorBidi" w:hint="cs"/>
          <w:sz w:val="24"/>
          <w:szCs w:val="24"/>
          <w:rtl/>
        </w:rPr>
        <w:t xml:space="preserve"> الاجتماعي و المهني</w:t>
      </w:r>
      <w:r w:rsidRPr="00597AF0">
        <w:rPr>
          <w:rFonts w:ascii="Times New Roman" w:hAnsi="Times New Roman" w:cs="Times New Roman"/>
          <w:sz w:val="24"/>
          <w:szCs w:val="24"/>
          <w:rtl/>
          <w:lang w:bidi="ar-DZ"/>
        </w:rPr>
        <w:t xml:space="preserve">. إعادة توجيه النموذجين المعتمدين في الجامعة </w:t>
      </w:r>
      <w:r w:rsidRPr="00597AF0">
        <w:rPr>
          <w:rFonts w:asciiTheme="majorBidi" w:hAnsiTheme="majorBidi" w:cstheme="majorBidi" w:hint="cs"/>
          <w:sz w:val="24"/>
          <w:szCs w:val="24"/>
          <w:rtl/>
        </w:rPr>
        <w:t>أل</w:t>
      </w:r>
      <w:r w:rsidRPr="00597AF0">
        <w:rPr>
          <w:rFonts w:ascii="Times New Roman" w:hAnsi="Times New Roman" w:cs="Times New Roman"/>
          <w:sz w:val="24"/>
          <w:szCs w:val="24"/>
          <w:rtl/>
          <w:lang w:bidi="ar-DZ"/>
        </w:rPr>
        <w:t>ا</w:t>
      </w:r>
      <w:r w:rsidRPr="00597AF0">
        <w:rPr>
          <w:rFonts w:asciiTheme="majorBidi" w:hAnsiTheme="majorBidi" w:cstheme="majorBidi" w:hint="cs"/>
          <w:sz w:val="24"/>
          <w:szCs w:val="24"/>
          <w:rtl/>
        </w:rPr>
        <w:t xml:space="preserve"> و</w:t>
      </w:r>
      <w:r w:rsidRPr="00597AF0">
        <w:rPr>
          <w:rFonts w:ascii="Times New Roman" w:hAnsi="Times New Roman" w:cs="Times New Roman"/>
          <w:sz w:val="24"/>
          <w:szCs w:val="24"/>
          <w:lang w:bidi="ar-DZ"/>
        </w:rPr>
        <w:t xml:space="preserve"> </w:t>
      </w:r>
      <w:r w:rsidRPr="00597AF0">
        <w:rPr>
          <w:rFonts w:ascii="Times New Roman" w:hAnsi="Times New Roman" w:cs="Times New Roman"/>
          <w:sz w:val="24"/>
          <w:szCs w:val="24"/>
          <w:rtl/>
          <w:lang w:bidi="ar-DZ"/>
        </w:rPr>
        <w:t>هما</w:t>
      </w:r>
      <w:r w:rsidRPr="00597AF0">
        <w:rPr>
          <w:rFonts w:ascii="Times New Roman" w:hAnsi="Times New Roman" w:cs="Times New Roman"/>
          <w:sz w:val="24"/>
          <w:szCs w:val="24"/>
          <w:lang w:bidi="ar-DZ"/>
        </w:rPr>
        <w:t xml:space="preserve"> </w:t>
      </w:r>
      <w:r w:rsidRPr="00597AF0">
        <w:rPr>
          <w:rFonts w:ascii="Times New Roman" w:hAnsi="Times New Roman" w:cs="Times New Roman"/>
          <w:sz w:val="24"/>
          <w:szCs w:val="24"/>
          <w:rtl/>
          <w:lang w:bidi="ar-DZ"/>
        </w:rPr>
        <w:t xml:space="preserve">لإلقائي و السلوكي نحو نموذج </w:t>
      </w:r>
      <w:r w:rsidRPr="00597AF0">
        <w:rPr>
          <w:rFonts w:asciiTheme="majorBidi" w:hAnsiTheme="majorBidi" w:cstheme="majorBidi" w:hint="cs"/>
          <w:sz w:val="24"/>
          <w:szCs w:val="24"/>
          <w:rtl/>
        </w:rPr>
        <w:t>البنائية الاجتماعية</w:t>
      </w:r>
      <w:r w:rsidRPr="00597AF0">
        <w:rPr>
          <w:rFonts w:asciiTheme="majorBidi" w:hAnsiTheme="majorBidi" w:cstheme="majorBidi"/>
          <w:sz w:val="24"/>
          <w:szCs w:val="24"/>
        </w:rPr>
        <w:t xml:space="preserve"> </w:t>
      </w:r>
      <w:r w:rsidRPr="00597AF0">
        <w:rPr>
          <w:rFonts w:ascii="Times New Roman" w:hAnsi="Times New Roman" w:cs="Times New Roman"/>
          <w:sz w:val="24"/>
          <w:szCs w:val="24"/>
          <w:rtl/>
          <w:lang w:bidi="ar-DZ"/>
        </w:rPr>
        <w:t>ا</w:t>
      </w:r>
      <w:r w:rsidRPr="00597AF0">
        <w:rPr>
          <w:rFonts w:ascii="Times New Roman" w:hAnsi="Times New Roman" w:cs="Times New Roman"/>
          <w:sz w:val="24"/>
          <w:szCs w:val="24"/>
          <w:rtl/>
        </w:rPr>
        <w:t>لذ</w:t>
      </w:r>
      <w:r w:rsidRPr="00597AF0">
        <w:rPr>
          <w:rFonts w:ascii="Times New Roman" w:hAnsi="Times New Roman" w:cs="Times New Roman"/>
          <w:sz w:val="24"/>
          <w:szCs w:val="24"/>
          <w:rtl/>
          <w:lang w:bidi="ar-DZ"/>
        </w:rPr>
        <w:t xml:space="preserve">ي يسمح باندماج أفضل في الوسط </w:t>
      </w:r>
      <w:r w:rsidRPr="00597AF0">
        <w:rPr>
          <w:rFonts w:asciiTheme="majorBidi" w:hAnsiTheme="majorBidi" w:cstheme="majorBidi" w:hint="cs"/>
          <w:sz w:val="24"/>
          <w:szCs w:val="24"/>
          <w:rtl/>
        </w:rPr>
        <w:t>الاجتماعي و المهني</w:t>
      </w:r>
      <w:r w:rsidRPr="00597AF0">
        <w:rPr>
          <w:rFonts w:ascii="Times New Roman" w:hAnsi="Times New Roman" w:cs="Times New Roman" w:hint="cs"/>
          <w:sz w:val="24"/>
          <w:szCs w:val="24"/>
          <w:rtl/>
          <w:lang w:bidi="ar-DZ"/>
        </w:rPr>
        <w:t>،</w:t>
      </w:r>
      <w:r w:rsidRPr="00597AF0">
        <w:rPr>
          <w:rFonts w:ascii="Times New Roman" w:hAnsi="Times New Roman" w:cs="Times New Roman"/>
          <w:sz w:val="24"/>
          <w:szCs w:val="24"/>
          <w:rtl/>
          <w:lang w:bidi="ar-DZ"/>
        </w:rPr>
        <w:t xml:space="preserve"> هو أمر ضروري  لمواجهة محيط  يزداد تعقيدا يوما بعد يوم.</w:t>
      </w:r>
    </w:p>
    <w:p w:rsidR="00373A23" w:rsidRPr="00597AF0" w:rsidRDefault="00373A23" w:rsidP="00373A23">
      <w:pPr>
        <w:bidi/>
        <w:spacing w:line="360" w:lineRule="auto"/>
        <w:rPr>
          <w:rFonts w:ascii="Times New Roman" w:hAnsi="Times New Roman" w:cs="Times New Roman"/>
          <w:sz w:val="24"/>
          <w:szCs w:val="24"/>
          <w:lang w:bidi="ar-DZ"/>
        </w:rPr>
      </w:pPr>
      <w:r w:rsidRPr="00597AF0">
        <w:rPr>
          <w:rFonts w:ascii="Times New Roman" w:hAnsi="Times New Roman" w:cs="Times New Roman" w:hint="cs"/>
          <w:b/>
          <w:bCs/>
          <w:sz w:val="24"/>
          <w:szCs w:val="24"/>
          <w:rtl/>
        </w:rPr>
        <w:t>الكلمات المفتاحية</w:t>
      </w:r>
      <w:r w:rsidRPr="00597AF0">
        <w:rPr>
          <w:rFonts w:ascii="Times New Roman" w:hAnsi="Times New Roman" w:cs="Times New Roman" w:hint="cs"/>
          <w:sz w:val="24"/>
          <w:szCs w:val="24"/>
          <w:rtl/>
        </w:rPr>
        <w:t xml:space="preserve">: النماذج </w:t>
      </w:r>
      <w:proofErr w:type="spellStart"/>
      <w:r w:rsidRPr="00597AF0">
        <w:rPr>
          <w:rFonts w:ascii="Times New Roman" w:hAnsi="Times New Roman" w:cs="Times New Roman" w:hint="cs"/>
          <w:sz w:val="24"/>
          <w:szCs w:val="24"/>
          <w:rtl/>
        </w:rPr>
        <w:t>ال</w:t>
      </w:r>
      <w:r w:rsidRPr="00597AF0">
        <w:rPr>
          <w:rFonts w:ascii="Times New Roman" w:hAnsi="Times New Roman" w:cs="Times New Roman"/>
          <w:sz w:val="24"/>
          <w:szCs w:val="24"/>
          <w:rtl/>
          <w:lang w:bidi="ar-DZ"/>
        </w:rPr>
        <w:t>بيداغوجية</w:t>
      </w:r>
      <w:proofErr w:type="spellEnd"/>
      <w:r w:rsidRPr="00597AF0">
        <w:rPr>
          <w:rFonts w:ascii="Times New Roman" w:hAnsi="Times New Roman" w:cs="Times New Roman" w:hint="cs"/>
          <w:sz w:val="24"/>
          <w:szCs w:val="24"/>
          <w:rtl/>
        </w:rPr>
        <w:t xml:space="preserve"> ، التقييم ، المنهج ، طريقة الدخول ، الر</w:t>
      </w:r>
      <w:r w:rsidRPr="00597AF0">
        <w:rPr>
          <w:rFonts w:ascii="Times New Roman" w:hAnsi="Times New Roman" w:cs="Times New Roman"/>
          <w:sz w:val="24"/>
          <w:szCs w:val="24"/>
          <w:rtl/>
          <w:lang w:bidi="ar-DZ"/>
        </w:rPr>
        <w:t>ا</w:t>
      </w:r>
      <w:r w:rsidRPr="00597AF0">
        <w:rPr>
          <w:rFonts w:ascii="Times New Roman" w:hAnsi="Times New Roman" w:cs="Times New Roman" w:hint="cs"/>
          <w:sz w:val="24"/>
          <w:szCs w:val="24"/>
          <w:rtl/>
        </w:rPr>
        <w:t xml:space="preserve">بط بين </w:t>
      </w:r>
      <w:r w:rsidRPr="00597AF0">
        <w:rPr>
          <w:rFonts w:ascii="Times New Roman" w:hAnsi="Times New Roman" w:cs="Times New Roman"/>
          <w:sz w:val="24"/>
          <w:szCs w:val="24"/>
          <w:rtl/>
          <w:lang w:bidi="ar-DZ"/>
        </w:rPr>
        <w:t>التكوين</w:t>
      </w:r>
      <w:r w:rsidRPr="00597AF0">
        <w:rPr>
          <w:rFonts w:ascii="Times New Roman" w:hAnsi="Times New Roman" w:cs="Times New Roman" w:hint="cs"/>
          <w:sz w:val="24"/>
          <w:szCs w:val="24"/>
          <w:rtl/>
        </w:rPr>
        <w:t xml:space="preserve"> / البيئة الاجتماعية</w:t>
      </w:r>
      <w:r w:rsidRPr="00597AF0">
        <w:rPr>
          <w:rFonts w:asciiTheme="majorBidi" w:hAnsiTheme="majorBidi" w:cstheme="majorBidi" w:hint="cs"/>
          <w:sz w:val="24"/>
          <w:szCs w:val="24"/>
          <w:rtl/>
        </w:rPr>
        <w:t xml:space="preserve"> و</w:t>
      </w:r>
      <w:r w:rsidRPr="00597AF0">
        <w:rPr>
          <w:rFonts w:ascii="Times New Roman" w:hAnsi="Times New Roman" w:cs="Times New Roman" w:hint="cs"/>
          <w:sz w:val="24"/>
          <w:szCs w:val="24"/>
          <w:rtl/>
        </w:rPr>
        <w:t xml:space="preserve"> المهنية</w:t>
      </w:r>
    </w:p>
    <w:p w:rsidR="00141E9C" w:rsidRDefault="00141E9C"/>
    <w:sectPr w:rsidR="00141E9C" w:rsidSect="00141E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3A23"/>
    <w:rsid w:val="00141E9C"/>
    <w:rsid w:val="00373A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23"/>
    <w:pPr>
      <w:spacing w:after="0" w:line="0" w:lineRule="atLeast"/>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2207</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2021-11-20T06:15:00Z</dcterms:created>
  <dcterms:modified xsi:type="dcterms:W3CDTF">2021-11-20T06:19:00Z</dcterms:modified>
</cp:coreProperties>
</file>